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>Техническое задание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Описание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Цель данного технического задания - описать требования к настройке централизованного хранилища информации и управления оперативными процессами компании “СпортСтиль” на платформе 1С Управление Торговлей 11”. А также описание взаимодействия между УТ11, магазинами и складами компании.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Основной вид деятельности компании “СпортСтиль” - оптовая и розничная продажа спортивного инвентаря (велосипеды, самокаты, и.т.д) различных производителей.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Пользователи системы</w:t>
      </w:r>
    </w:p>
    <w:p>
      <w:pPr>
        <w:pStyle w:val="Normal"/>
        <w:rPr/>
      </w:pPr>
      <w:r>
        <w:rPr/>
      </w:r>
    </w:p>
    <w:p>
      <w:pPr>
        <w:pStyle w:val="Normal"/>
        <w:numPr>
          <w:ilvl w:val="0"/>
          <w:numId w:val="2"/>
        </w:numPr>
        <w:spacing w:before="0" w:after="0"/>
        <w:ind w:left="720" w:right="0" w:firstLine="360"/>
        <w:contextualSpacing/>
        <w:rPr/>
      </w:pPr>
      <w:r>
        <w:rPr/>
        <w:t>Руководство компании</w:t>
      </w:r>
    </w:p>
    <w:p>
      <w:pPr>
        <w:pStyle w:val="Normal"/>
        <w:numPr>
          <w:ilvl w:val="0"/>
          <w:numId w:val="2"/>
        </w:numPr>
        <w:spacing w:before="0" w:after="0"/>
        <w:ind w:left="720" w:right="0" w:firstLine="360"/>
        <w:contextualSpacing/>
        <w:rPr/>
      </w:pPr>
      <w:r>
        <w:rPr/>
        <w:t>Менеджер</w:t>
      </w:r>
    </w:p>
    <w:p>
      <w:pPr>
        <w:pStyle w:val="Normal"/>
        <w:numPr>
          <w:ilvl w:val="0"/>
          <w:numId w:val="2"/>
        </w:numPr>
        <w:spacing w:before="0" w:after="0"/>
        <w:ind w:left="720" w:right="0" w:firstLine="360"/>
        <w:contextualSpacing/>
        <w:rPr/>
      </w:pPr>
      <w:r>
        <w:rPr/>
        <w:t>Продавец (в розничном магазине)</w:t>
      </w:r>
    </w:p>
    <w:p>
      <w:pPr>
        <w:pStyle w:val="Normal"/>
        <w:numPr>
          <w:ilvl w:val="0"/>
          <w:numId w:val="2"/>
        </w:numPr>
        <w:spacing w:before="0" w:after="0"/>
        <w:ind w:left="720" w:right="0" w:firstLine="360"/>
        <w:contextualSpacing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 xml:space="preserve">Типы контрагентов: </w:t>
      </w:r>
    </w:p>
    <w:p>
      <w:pPr>
        <w:pStyle w:val="Normal"/>
        <w:numPr>
          <w:ilvl w:val="0"/>
          <w:numId w:val="2"/>
        </w:numPr>
        <w:spacing w:before="0" w:after="0"/>
        <w:ind w:left="720" w:right="0" w:firstLine="360"/>
        <w:contextualSpacing/>
        <w:rPr/>
      </w:pPr>
      <w:r>
        <w:rPr/>
        <w:t>Розничный покупатель. Может заказывать товар с розничного склада.</w:t>
      </w:r>
    </w:p>
    <w:p>
      <w:pPr>
        <w:pStyle w:val="Normal"/>
        <w:numPr>
          <w:ilvl w:val="0"/>
          <w:numId w:val="2"/>
        </w:numPr>
        <w:spacing w:before="0" w:after="0"/>
        <w:ind w:left="720" w:right="0" w:firstLine="360"/>
        <w:contextualSpacing/>
        <w:rPr/>
      </w:pPr>
      <w:r>
        <w:rPr/>
        <w:t>Оптовый покупатель. Может заказывать товар только с оптовых складов и только после авторизации на сайте.</w:t>
      </w:r>
    </w:p>
    <w:p>
      <w:pPr>
        <w:pStyle w:val="Normal"/>
        <w:numPr>
          <w:ilvl w:val="0"/>
          <w:numId w:val="2"/>
        </w:numPr>
        <w:spacing w:before="0" w:after="0"/>
        <w:ind w:left="720" w:right="0" w:firstLine="360"/>
        <w:contextualSpacing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Точки продажи</w:t>
      </w:r>
    </w:p>
    <w:p>
      <w:pPr>
        <w:pStyle w:val="Normal"/>
        <w:numPr>
          <w:ilvl w:val="0"/>
          <w:numId w:val="3"/>
        </w:numPr>
        <w:spacing w:before="0" w:after="0"/>
        <w:ind w:left="720" w:right="0" w:firstLine="360"/>
        <w:contextualSpacing/>
        <w:rPr/>
      </w:pPr>
      <w:r>
        <w:rPr/>
        <w:t>Интернет магазин (сайт). В настоящее время работает 2 сайта:</w:t>
      </w:r>
      <w:r>
        <w:rPr>
          <w:i/>
          <w:color w:val="0000FF"/>
        </w:rPr>
        <w:t xml:space="preserve"> </w:t>
      </w:r>
      <w:r>
        <w:rPr>
          <w:i/>
          <w:color w:val="0000FF"/>
        </w:rPr>
        <w:t>site1 site2</w:t>
      </w:r>
      <w:r>
        <w:rPr/>
        <w:t>. В ближайшем будущем заработают еще 3 сайта с монобрендовой номенклатурой: “Pyky”, “Hudora”,”Micro”. Все сайты работают на платформе “1С Битрикс Управление Сайтом” (редакция Бизнес)</w:t>
      </w:r>
    </w:p>
    <w:p>
      <w:pPr>
        <w:pStyle w:val="Normal"/>
        <w:numPr>
          <w:ilvl w:val="0"/>
          <w:numId w:val="3"/>
        </w:numPr>
        <w:spacing w:before="0" w:after="0"/>
        <w:ind w:left="720" w:right="0" w:firstLine="360"/>
        <w:contextualSpacing/>
        <w:rPr/>
      </w:pPr>
      <w:r>
        <w:rPr/>
        <w:t>Розничный магазин (точка продажи). Одна точка продаж в помещении склада  “Москва1”</w:t>
      </w:r>
    </w:p>
    <w:p>
      <w:pPr>
        <w:pStyle w:val="Normal"/>
        <w:rPr/>
      </w:pPr>
      <w:r>
        <w:rPr>
          <w:b/>
        </w:rPr>
        <w:t xml:space="preserve">Склады. </w:t>
      </w:r>
      <w:r>
        <w:rPr/>
        <w:t>У компании есть 3 физических склада. Для простоты будем называть их:</w:t>
      </w:r>
    </w:p>
    <w:p>
      <w:pPr>
        <w:pStyle w:val="Normal"/>
        <w:numPr>
          <w:ilvl w:val="0"/>
          <w:numId w:val="1"/>
        </w:numPr>
        <w:spacing w:before="0" w:after="0"/>
        <w:ind w:left="1440" w:right="0" w:firstLine="1080"/>
        <w:contextualSpacing/>
        <w:rPr>
          <w:color w:val="000000"/>
        </w:rPr>
      </w:pPr>
      <w:r>
        <w:rPr>
          <w:color w:val="000000"/>
        </w:rPr>
        <w:t>Склад “Розница”</w:t>
      </w:r>
    </w:p>
    <w:p>
      <w:pPr>
        <w:pStyle w:val="Normal"/>
        <w:numPr>
          <w:ilvl w:val="0"/>
          <w:numId w:val="1"/>
        </w:numPr>
        <w:spacing w:before="0" w:after="0"/>
        <w:ind w:left="1440" w:right="0" w:firstLine="1080"/>
        <w:contextualSpacing/>
        <w:rPr>
          <w:color w:val="000000"/>
        </w:rPr>
      </w:pPr>
      <w:r>
        <w:rPr>
          <w:color w:val="000000"/>
        </w:rPr>
        <w:t>Склад “Опт”</w:t>
      </w:r>
    </w:p>
    <w:p>
      <w:pPr>
        <w:pStyle w:val="Normal"/>
        <w:numPr>
          <w:ilvl w:val="0"/>
          <w:numId w:val="1"/>
        </w:numPr>
        <w:spacing w:before="0" w:after="0"/>
        <w:ind w:left="1440" w:right="0" w:firstLine="1080"/>
        <w:contextualSpacing/>
        <w:rPr>
          <w:color w:val="000000"/>
        </w:rPr>
      </w:pPr>
      <w:r>
        <w:rPr>
          <w:color w:val="000000"/>
        </w:rPr>
        <w:t>Склад “Удаленный”</w:t>
      </w:r>
    </w:p>
    <w:p>
      <w:pPr>
        <w:pStyle w:val="Normal"/>
        <w:numPr>
          <w:ilvl w:val="0"/>
          <w:numId w:val="1"/>
        </w:numPr>
        <w:spacing w:before="0" w:after="0"/>
        <w:ind w:left="1440" w:right="0" w:firstLine="1080"/>
        <w:contextualSpacing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>Магазин (витрина)</w:t>
      </w:r>
    </w:p>
    <w:p>
      <w:pPr>
        <w:pStyle w:val="Normal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rPr>
          <w:b/>
          <w:b/>
        </w:rPr>
      </w:pPr>
      <w:r>
        <w:rPr>
          <w:b/>
        </w:rPr>
        <w:t xml:space="preserve">Под-склады (виртуальные склады) </w:t>
      </w:r>
    </w:p>
    <w:p>
      <w:pPr>
        <w:pStyle w:val="Normal"/>
        <w:ind w:left="0" w:right="0" w:firstLine="720"/>
        <w:rPr/>
      </w:pPr>
      <w:r>
        <w:rPr/>
        <w:t xml:space="preserve">Товары распределяются по физическим складам а также по двум виртуальным: “опт” и “розница”.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Например при поступлении 10 самокатов “</w:t>
      </w:r>
      <w:r>
        <w:rPr>
          <w:rStyle w:val="InternetLink"/>
          <w:b/>
          <w:shd w:fill="FFFFFF" w:val="clear"/>
        </w:rPr>
        <w:t>Maxi Micro 4 in 1</w:t>
      </w:r>
      <w:r>
        <w:rPr/>
        <w:t>” они могут быть распределены по складам следующим образом:</w:t>
      </w:r>
    </w:p>
    <w:p>
      <w:pPr>
        <w:pStyle w:val="Normal"/>
        <w:numPr>
          <w:ilvl w:val="0"/>
          <w:numId w:val="3"/>
        </w:numPr>
        <w:spacing w:before="0" w:after="0"/>
        <w:contextualSpacing/>
        <w:rPr/>
      </w:pPr>
      <w:r>
        <w:rPr/>
        <w:t>5 шт.  на склад “Розница”</w:t>
      </w:r>
    </w:p>
    <w:p>
      <w:pPr>
        <w:pStyle w:val="Normal"/>
        <w:numPr>
          <w:ilvl w:val="0"/>
          <w:numId w:val="3"/>
        </w:numPr>
        <w:spacing w:before="0" w:after="0"/>
        <w:contextualSpacing/>
        <w:rPr/>
      </w:pPr>
      <w:r>
        <w:rPr/>
        <w:t>2  шт.на склад “Опт”</w:t>
      </w:r>
    </w:p>
    <w:p>
      <w:pPr>
        <w:pStyle w:val="Normal"/>
        <w:numPr>
          <w:ilvl w:val="0"/>
          <w:numId w:val="3"/>
        </w:numPr>
        <w:spacing w:before="0" w:after="0"/>
        <w:ind w:left="720" w:right="0" w:firstLine="360"/>
        <w:contextualSpacing/>
        <w:rPr/>
      </w:pPr>
      <w:r>
        <w:rPr/>
        <w:t>2  шт. на склад Удаленный</w:t>
      </w:r>
    </w:p>
    <w:p>
      <w:pPr>
        <w:pStyle w:val="Normal"/>
        <w:numPr>
          <w:ilvl w:val="0"/>
          <w:numId w:val="3"/>
        </w:numPr>
        <w:spacing w:before="0" w:after="0"/>
        <w:ind w:left="720" w:right="0" w:firstLine="360"/>
        <w:contextualSpacing/>
        <w:rPr/>
      </w:pPr>
      <w:r>
        <w:rPr/>
        <w:t>1 шт в Магазин (витрина)</w:t>
      </w:r>
    </w:p>
    <w:p>
      <w:pPr>
        <w:pStyle w:val="Normal"/>
        <w:spacing w:before="0" w:after="0"/>
        <w:ind w:left="720" w:right="0" w:hanging="0"/>
        <w:contextualSpacing/>
        <w:rPr/>
      </w:pPr>
      <w:r>
        <w:rPr/>
      </w:r>
    </w:p>
    <w:p>
      <w:pPr>
        <w:pStyle w:val="Normal"/>
        <w:rPr/>
      </w:pPr>
      <w:r>
        <w:rPr/>
        <w:t xml:space="preserve">Оптовые контрагенты могут заказывать товар только с оптовых складов. Розничные - только с розничных.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Ценообразование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Цены на один и тот же товар могут быть разными в зависимости от точки продажи или от статуса контрагента.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Например Велосипед “</w:t>
      </w:r>
      <w:r>
        <w:rPr>
          <w:i/>
        </w:rPr>
        <w:t>Puky LR Ride</w:t>
      </w:r>
      <w:r>
        <w:rPr/>
        <w:t>” может стоить по разному: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В розницу на сайте “</w:t>
      </w:r>
      <w:r>
        <w:rPr/>
        <w:t>site1</w:t>
      </w:r>
      <w:r>
        <w:rPr/>
        <w:t>.ru” (10 000 руб.)</w:t>
      </w:r>
    </w:p>
    <w:p>
      <w:pPr>
        <w:pStyle w:val="Normal"/>
        <w:rPr/>
      </w:pPr>
      <w:r>
        <w:rPr/>
        <w:t>В розницу на сайте “</w:t>
      </w:r>
      <w:r>
        <w:rPr/>
        <w:t>site2</w:t>
      </w:r>
      <w:r>
        <w:rPr/>
        <w:t>.ru” (10 499 руб.)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Оптом для дилера по колонке 1 (8 000 руб.)</w:t>
      </w:r>
    </w:p>
    <w:p>
      <w:pPr>
        <w:pStyle w:val="Normal"/>
        <w:rPr/>
      </w:pPr>
      <w:r>
        <w:rPr/>
        <w:t>Оптом для дилера по колонке 2 (7 000 руб.)</w:t>
      </w:r>
    </w:p>
    <w:p>
      <w:pPr>
        <w:pStyle w:val="Normal"/>
        <w:rPr/>
      </w:pPr>
      <w:r>
        <w:rPr/>
        <w:t>Оптом для дилера по колонке 3 (6 000 руб.)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Распределение остатков по магазинам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Каждое наименование номенклатуры может продаваться в любом количестве точек продажи. Например </w:t>
      </w:r>
    </w:p>
    <w:p>
      <w:pPr>
        <w:pStyle w:val="Normal"/>
        <w:rPr/>
      </w:pPr>
      <w:r>
        <w:rPr/>
        <w:t>Самокат “</w:t>
      </w:r>
      <w:r>
        <w:rPr>
          <w:rStyle w:val="InternetLink"/>
          <w:i/>
          <w:shd w:fill="FFFFFF" w:val="clear"/>
        </w:rPr>
        <w:t>Maxi Micro 4 in 1</w:t>
      </w:r>
      <w:r>
        <w:rPr/>
        <w:t>” может быть доступен на  сайте “</w:t>
      </w:r>
      <w:r>
        <w:rPr/>
        <w:t>site1</w:t>
      </w:r>
      <w:r>
        <w:rPr/>
        <w:t>.ru”  и “</w:t>
      </w:r>
      <w:r>
        <w:rPr/>
        <w:t>site2</w:t>
      </w:r>
      <w:r>
        <w:rPr/>
        <w:t xml:space="preserve">.ru”.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Самокат “</w:t>
      </w:r>
      <w:r>
        <w:rPr>
          <w:rStyle w:val="InternetLink"/>
          <w:i/>
          <w:shd w:fill="FFFFFF" w:val="clear"/>
        </w:rPr>
        <w:t>Puky R 1</w:t>
      </w:r>
      <w:r>
        <w:rPr/>
        <w:t>” - только на сайте “</w:t>
      </w:r>
      <w:r>
        <w:rPr/>
        <w:t>site1</w:t>
      </w:r>
      <w:r>
        <w:rPr/>
        <w:t>.ru”</w:t>
      </w:r>
    </w:p>
    <w:p>
      <w:pPr>
        <w:pStyle w:val="Normal"/>
        <w:rPr/>
      </w:pPr>
      <w:r>
        <w:rPr/>
        <w:t>В каждом магазине могут продаваться товары с любого склада.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t>Требования к системе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Вся номенклатура компании должна храниться централизованно в 1С УТ (сервис предоставляется компанией buhserver.ru).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Вся номенклатура должна быть распределена (мнеджером) по складам и под-складам с возможностью изменения этой информации высшим руководством и менеджером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Информация по остаткам на складах должна отображаться на сайте в реальном времени.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Информация по ценам должна быть отображена на сайте в реальном времени.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У каждого наименования номенклатуры должна быть возможность выбора точек продажи (никакой одна или несколько).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Каталог продуктов, доступных на сайте (точке продажи) формируется по информации 1С УТ в реальном времени.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 дилера должна быть возможность логина на любой сайт. После авторизации ему будут доступны заказы по цене, соответствующие его колонке.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Заказ, отправленный с любой точки продаж должен быть передан в УТ в реальном времени.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Вместе с заказом в УТ должна быть передана информация о том откуда проступил заказ (точка продаж).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Вместе с заказом в УТ должна быть информация о контагенте, сделавшем заказ.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 каждого наименования номенклатуры должна быть возможность задания розничной цены  в зависимости от точки продаж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 каждого наименования номенклатуры должна быть задания оптовой цены  в зависимости от статуса контрагента.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Для незарегистрированных пользователей на сайте должны отображаться суммарные остатки по всем розничным складам . Если сумммарные остатки по складам менее 10 шт. то отображается конкретное цисло. Если остатки по складам &gt; 10 то на сайте отображается “&gt;10”)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Для зарегистрированных пользователей (дилеров) на сайте должны отображаться суммарные остатки по всем оптовым складам («мало» или «более 10»).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Для незарегистрированных пользователей  на сайте должны отображаться суммарные наличие или отсутствие товара на складе.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У продавца розничного магазина должна быть возможность работы в упрощенном интерфейсе 1С УТ с ограниченными правами.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Начальная загрузка номенклатуры и дилеров.  Данные будут предоставлены заказчиком в формате csv. Необходимо загрузить в 1С УТ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Создание нового дилера. Синхронизация списка дилеров с сайтами. За Процесс будет уточнен поззже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Примечание программиста</w:t>
      </w:r>
      <w:r>
        <w:rPr/>
        <w:t xml:space="preserve">: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Карточка товара в битрикс содержит торговые предложения(в 1С это называется вид цены) к которым есть свои картинки и параметры (цвет товара, размер, стоимость, остатки)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Но в 1С нет привязок картинок к торговому предложению. В 1С есть Виды цен (колонки прайса), к одному товару можно прикрепить несколько картинок (вцелом).</w:t>
      </w:r>
    </w:p>
    <w:p>
      <w:pPr>
        <w:pStyle w:val="Normal"/>
        <w:rPr/>
      </w:pPr>
      <w:r>
        <w:rPr/>
        <w:t>Чтобы Битрикс привязал эти картинки к определенному торговому предложению нужно по имени одинаково писать описание картинки в 1С с названием характеристики, в этом случае Битрикс при парсинге должен подвязать эту картинку к торговому предложению.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1440" w:hanging="0"/>
      </w:pPr>
      <w:rPr>
        <w:rFonts w:ascii="OpenSymbol" w:hAnsi="OpenSymbol" w:cs="OpenSymbol" w:hint="default"/>
        <w:u w:val="none"/>
        <w:b w:val="false"/>
      </w:rPr>
    </w:lvl>
    <w:lvl w:ilvl="1">
      <w:start w:val="1"/>
      <w:numFmt w:val="bullet"/>
      <w:lvlText w:val="-"/>
      <w:lvlJc w:val="left"/>
      <w:pPr>
        <w:ind w:left="2160" w:hanging="0"/>
      </w:pPr>
      <w:rPr>
        <w:rFonts w:ascii="OpenSymbol" w:hAnsi="OpenSymbol" w:cs="OpenSymbol" w:hint="default"/>
        <w:u w:val="none"/>
        <w:b w:val="false"/>
      </w:rPr>
    </w:lvl>
    <w:lvl w:ilvl="2">
      <w:start w:val="1"/>
      <w:numFmt w:val="bullet"/>
      <w:lvlText w:val="-"/>
      <w:lvlJc w:val="left"/>
      <w:pPr>
        <w:ind w:left="2880" w:hanging="0"/>
      </w:pPr>
      <w:rPr>
        <w:rFonts w:ascii="OpenSymbol" w:hAnsi="OpenSymbol" w:cs="OpenSymbol" w:hint="default"/>
        <w:u w:val="none"/>
        <w:b w:val="false"/>
      </w:rPr>
    </w:lvl>
    <w:lvl w:ilvl="3">
      <w:start w:val="1"/>
      <w:numFmt w:val="bullet"/>
      <w:lvlText w:val="-"/>
      <w:lvlJc w:val="left"/>
      <w:pPr>
        <w:ind w:left="3600" w:hanging="0"/>
      </w:pPr>
      <w:rPr>
        <w:rFonts w:ascii="OpenSymbol" w:hAnsi="OpenSymbol" w:cs="OpenSymbol" w:hint="default"/>
        <w:u w:val="none"/>
        <w:b w:val="false"/>
      </w:rPr>
    </w:lvl>
    <w:lvl w:ilvl="4">
      <w:start w:val="1"/>
      <w:numFmt w:val="bullet"/>
      <w:lvlText w:val="-"/>
      <w:lvlJc w:val="left"/>
      <w:pPr>
        <w:ind w:left="4320" w:hanging="0"/>
      </w:pPr>
      <w:rPr>
        <w:rFonts w:ascii="OpenSymbol" w:hAnsi="OpenSymbol" w:cs="OpenSymbol" w:hint="default"/>
        <w:u w:val="none"/>
        <w:b w:val="false"/>
      </w:rPr>
    </w:lvl>
    <w:lvl w:ilvl="5">
      <w:start w:val="1"/>
      <w:numFmt w:val="bullet"/>
      <w:lvlText w:val="-"/>
      <w:lvlJc w:val="left"/>
      <w:pPr>
        <w:ind w:left="5040" w:hanging="0"/>
      </w:pPr>
      <w:rPr>
        <w:rFonts w:ascii="OpenSymbol" w:hAnsi="OpenSymbol" w:cs="OpenSymbol" w:hint="default"/>
        <w:u w:val="none"/>
        <w:b w:val="false"/>
      </w:rPr>
    </w:lvl>
    <w:lvl w:ilvl="6">
      <w:start w:val="1"/>
      <w:numFmt w:val="bullet"/>
      <w:lvlText w:val="-"/>
      <w:lvlJc w:val="left"/>
      <w:pPr>
        <w:ind w:left="5760" w:hanging="0"/>
      </w:pPr>
      <w:rPr>
        <w:rFonts w:ascii="OpenSymbol" w:hAnsi="OpenSymbol" w:cs="OpenSymbol" w:hint="default"/>
        <w:u w:val="none"/>
        <w:b w:val="false"/>
      </w:rPr>
    </w:lvl>
    <w:lvl w:ilvl="7">
      <w:start w:val="1"/>
      <w:numFmt w:val="bullet"/>
      <w:lvlText w:val="-"/>
      <w:lvlJc w:val="left"/>
      <w:pPr>
        <w:ind w:left="6480" w:hanging="0"/>
      </w:pPr>
      <w:rPr>
        <w:rFonts w:ascii="OpenSymbol" w:hAnsi="OpenSymbol" w:cs="OpenSymbol" w:hint="default"/>
        <w:u w:val="none"/>
        <w:b w:val="false"/>
      </w:rPr>
    </w:lvl>
    <w:lvl w:ilvl="8">
      <w:start w:val="1"/>
      <w:numFmt w:val="bullet"/>
      <w:lvlText w:val="-"/>
      <w:lvlJc w:val="left"/>
      <w:pPr>
        <w:ind w:left="7200" w:hanging="0"/>
      </w:pPr>
      <w:rPr>
        <w:rFonts w:ascii="OpenSymbol" w:hAnsi="OpenSymbol" w:cs="OpenSymbol" w:hint="default"/>
        <w:u w:val="none"/>
        <w:b w:val="fals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0"/>
      </w:pPr>
      <w:rPr>
        <w:rFonts w:ascii="OpenSymbol" w:hAnsi="OpenSymbol" w:cs="OpenSymbol" w:hint="default"/>
        <w:u w:val="none"/>
        <w:b w:val="false"/>
      </w:rPr>
    </w:lvl>
    <w:lvl w:ilvl="1">
      <w:start w:val="1"/>
      <w:numFmt w:val="bullet"/>
      <w:lvlText w:val="-"/>
      <w:lvlJc w:val="left"/>
      <w:pPr>
        <w:ind w:left="1440" w:hanging="0"/>
      </w:pPr>
      <w:rPr>
        <w:rFonts w:ascii="OpenSymbol" w:hAnsi="OpenSymbol" w:cs="OpenSymbol" w:hint="default"/>
        <w:u w:val="none"/>
        <w:b w:val="false"/>
      </w:rPr>
    </w:lvl>
    <w:lvl w:ilvl="2">
      <w:start w:val="1"/>
      <w:numFmt w:val="bullet"/>
      <w:lvlText w:val="-"/>
      <w:lvlJc w:val="left"/>
      <w:pPr>
        <w:ind w:left="2160" w:hanging="0"/>
      </w:pPr>
      <w:rPr>
        <w:rFonts w:ascii="OpenSymbol" w:hAnsi="OpenSymbol" w:cs="OpenSymbol" w:hint="default"/>
        <w:u w:val="none"/>
        <w:b w:val="false"/>
      </w:rPr>
    </w:lvl>
    <w:lvl w:ilvl="3">
      <w:start w:val="1"/>
      <w:numFmt w:val="bullet"/>
      <w:lvlText w:val="-"/>
      <w:lvlJc w:val="left"/>
      <w:pPr>
        <w:ind w:left="2880" w:hanging="0"/>
      </w:pPr>
      <w:rPr>
        <w:rFonts w:ascii="OpenSymbol" w:hAnsi="OpenSymbol" w:cs="OpenSymbol" w:hint="default"/>
        <w:u w:val="none"/>
        <w:b w:val="false"/>
      </w:rPr>
    </w:lvl>
    <w:lvl w:ilvl="4">
      <w:start w:val="1"/>
      <w:numFmt w:val="bullet"/>
      <w:lvlText w:val="-"/>
      <w:lvlJc w:val="left"/>
      <w:pPr>
        <w:ind w:left="3600" w:hanging="0"/>
      </w:pPr>
      <w:rPr>
        <w:rFonts w:ascii="OpenSymbol" w:hAnsi="OpenSymbol" w:cs="OpenSymbol" w:hint="default"/>
        <w:u w:val="none"/>
        <w:b w:val="false"/>
      </w:rPr>
    </w:lvl>
    <w:lvl w:ilvl="5">
      <w:start w:val="1"/>
      <w:numFmt w:val="bullet"/>
      <w:lvlText w:val="-"/>
      <w:lvlJc w:val="left"/>
      <w:pPr>
        <w:ind w:left="4320" w:hanging="0"/>
      </w:pPr>
      <w:rPr>
        <w:rFonts w:ascii="OpenSymbol" w:hAnsi="OpenSymbol" w:cs="OpenSymbol" w:hint="default"/>
        <w:u w:val="none"/>
        <w:b w:val="false"/>
      </w:rPr>
    </w:lvl>
    <w:lvl w:ilvl="6">
      <w:start w:val="1"/>
      <w:numFmt w:val="bullet"/>
      <w:lvlText w:val="-"/>
      <w:lvlJc w:val="left"/>
      <w:pPr>
        <w:ind w:left="5040" w:hanging="0"/>
      </w:pPr>
      <w:rPr>
        <w:rFonts w:ascii="OpenSymbol" w:hAnsi="OpenSymbol" w:cs="OpenSymbol" w:hint="default"/>
        <w:u w:val="none"/>
        <w:b w:val="false"/>
      </w:rPr>
    </w:lvl>
    <w:lvl w:ilvl="7">
      <w:start w:val="1"/>
      <w:numFmt w:val="bullet"/>
      <w:lvlText w:val="-"/>
      <w:lvlJc w:val="left"/>
      <w:pPr>
        <w:ind w:left="5760" w:hanging="0"/>
      </w:pPr>
      <w:rPr>
        <w:rFonts w:ascii="OpenSymbol" w:hAnsi="OpenSymbol" w:cs="OpenSymbol" w:hint="default"/>
        <w:u w:val="none"/>
        <w:b w:val="false"/>
      </w:rPr>
    </w:lvl>
    <w:lvl w:ilvl="8">
      <w:start w:val="1"/>
      <w:numFmt w:val="bullet"/>
      <w:lvlText w:val="-"/>
      <w:lvlJc w:val="left"/>
      <w:pPr>
        <w:ind w:left="6480" w:hanging="0"/>
      </w:pPr>
      <w:rPr>
        <w:rFonts w:ascii="OpenSymbol" w:hAnsi="OpenSymbol" w:cs="OpenSymbol" w:hint="default"/>
        <w:u w:val="none"/>
        <w:b w:val="fals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0"/>
      </w:pPr>
      <w:rPr>
        <w:rFonts w:ascii="OpenSymbol" w:hAnsi="OpenSymbol" w:cs="OpenSymbol" w:hint="default"/>
        <w:u w:val="none"/>
        <w:b w:val="false"/>
      </w:rPr>
    </w:lvl>
    <w:lvl w:ilvl="1">
      <w:start w:val="1"/>
      <w:numFmt w:val="bullet"/>
      <w:lvlText w:val="-"/>
      <w:lvlJc w:val="left"/>
      <w:pPr>
        <w:ind w:left="1440" w:hanging="0"/>
      </w:pPr>
      <w:rPr>
        <w:rFonts w:ascii="OpenSymbol" w:hAnsi="OpenSymbol" w:cs="OpenSymbol" w:hint="default"/>
        <w:u w:val="none"/>
        <w:b w:val="false"/>
      </w:rPr>
    </w:lvl>
    <w:lvl w:ilvl="2">
      <w:start w:val="1"/>
      <w:numFmt w:val="bullet"/>
      <w:lvlText w:val="-"/>
      <w:lvlJc w:val="left"/>
      <w:pPr>
        <w:ind w:left="2160" w:hanging="0"/>
      </w:pPr>
      <w:rPr>
        <w:rFonts w:ascii="OpenSymbol" w:hAnsi="OpenSymbol" w:cs="OpenSymbol" w:hint="default"/>
        <w:u w:val="none"/>
        <w:b w:val="false"/>
      </w:rPr>
    </w:lvl>
    <w:lvl w:ilvl="3">
      <w:start w:val="1"/>
      <w:numFmt w:val="bullet"/>
      <w:lvlText w:val="-"/>
      <w:lvlJc w:val="left"/>
      <w:pPr>
        <w:ind w:left="2880" w:hanging="0"/>
      </w:pPr>
      <w:rPr>
        <w:rFonts w:ascii="OpenSymbol" w:hAnsi="OpenSymbol" w:cs="OpenSymbol" w:hint="default"/>
        <w:u w:val="none"/>
        <w:b w:val="false"/>
      </w:rPr>
    </w:lvl>
    <w:lvl w:ilvl="4">
      <w:start w:val="1"/>
      <w:numFmt w:val="bullet"/>
      <w:lvlText w:val="-"/>
      <w:lvlJc w:val="left"/>
      <w:pPr>
        <w:ind w:left="3600" w:hanging="0"/>
      </w:pPr>
      <w:rPr>
        <w:rFonts w:ascii="OpenSymbol" w:hAnsi="OpenSymbol" w:cs="OpenSymbol" w:hint="default"/>
        <w:u w:val="none"/>
        <w:b w:val="false"/>
      </w:rPr>
    </w:lvl>
    <w:lvl w:ilvl="5">
      <w:start w:val="1"/>
      <w:numFmt w:val="bullet"/>
      <w:lvlText w:val="-"/>
      <w:lvlJc w:val="left"/>
      <w:pPr>
        <w:ind w:left="4320" w:hanging="0"/>
      </w:pPr>
      <w:rPr>
        <w:rFonts w:ascii="OpenSymbol" w:hAnsi="OpenSymbol" w:cs="OpenSymbol" w:hint="default"/>
        <w:u w:val="none"/>
        <w:b w:val="false"/>
      </w:rPr>
    </w:lvl>
    <w:lvl w:ilvl="6">
      <w:start w:val="1"/>
      <w:numFmt w:val="bullet"/>
      <w:lvlText w:val="-"/>
      <w:lvlJc w:val="left"/>
      <w:pPr>
        <w:ind w:left="5040" w:hanging="0"/>
      </w:pPr>
      <w:rPr>
        <w:rFonts w:ascii="OpenSymbol" w:hAnsi="OpenSymbol" w:cs="OpenSymbol" w:hint="default"/>
        <w:u w:val="none"/>
        <w:b w:val="false"/>
      </w:rPr>
    </w:lvl>
    <w:lvl w:ilvl="7">
      <w:start w:val="1"/>
      <w:numFmt w:val="bullet"/>
      <w:lvlText w:val="-"/>
      <w:lvlJc w:val="left"/>
      <w:pPr>
        <w:ind w:left="5760" w:hanging="0"/>
      </w:pPr>
      <w:rPr>
        <w:rFonts w:ascii="OpenSymbol" w:hAnsi="OpenSymbol" w:cs="OpenSymbol" w:hint="default"/>
        <w:u w:val="none"/>
        <w:b w:val="false"/>
      </w:rPr>
    </w:lvl>
    <w:lvl w:ilvl="8">
      <w:start w:val="1"/>
      <w:numFmt w:val="bullet"/>
      <w:lvlText w:val="-"/>
      <w:lvlJc w:val="left"/>
      <w:pPr>
        <w:ind w:left="6480" w:hanging="0"/>
      </w:pPr>
      <w:rPr>
        <w:rFonts w:ascii="OpenSymbol" w:hAnsi="OpenSymbol" w:cs="OpenSymbol" w:hint="default"/>
        <w:u w:val="none"/>
        <w:b w:val="false"/>
      </w:rPr>
    </w:lvl>
  </w:abstractNum>
  <w:abstractNum w:abstractNumId="4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color w:val="000000"/>
        <w:lang w:val="ru-RU" w:eastAsia="ru-RU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/>
      <w:jc w:val="left"/>
    </w:pPr>
    <w:rPr>
      <w:rFonts w:ascii="Arial" w:hAnsi="Arial" w:eastAsia="Arial" w:cs="Arial"/>
      <w:color w:val="000000"/>
      <w:sz w:val="22"/>
      <w:szCs w:val="20"/>
      <w:lang w:val="ru-RU" w:eastAsia="ru-RU" w:bidi="ar-SA"/>
    </w:rPr>
  </w:style>
  <w:style w:type="paragraph" w:styleId="Heading1">
    <w:name w:val="Heading 1"/>
    <w:basedOn w:val="Normal"/>
    <w:qFormat/>
    <w:pPr>
      <w:keepNext/>
      <w:keepLines/>
      <w:spacing w:before="200" w:after="0"/>
      <w:contextualSpacing/>
      <w:outlineLvl w:val="0"/>
    </w:pPr>
    <w:rPr>
      <w:rFonts w:ascii="Trebuchet MS" w:hAnsi="Trebuchet MS" w:eastAsia="Trebuchet MS" w:cs="Trebuchet MS"/>
      <w:sz w:val="32"/>
    </w:rPr>
  </w:style>
  <w:style w:type="paragraph" w:styleId="Heading2">
    <w:name w:val="Heading 2"/>
    <w:basedOn w:val="Normal"/>
    <w:qFormat/>
    <w:pPr>
      <w:keepNext/>
      <w:keepLines/>
      <w:spacing w:before="200" w:after="0"/>
      <w:contextualSpacing/>
      <w:outlineLvl w:val="1"/>
    </w:pPr>
    <w:rPr>
      <w:rFonts w:ascii="Trebuchet MS" w:hAnsi="Trebuchet MS" w:eastAsia="Trebuchet MS" w:cs="Trebuchet MS"/>
      <w:b/>
      <w:sz w:val="26"/>
    </w:rPr>
  </w:style>
  <w:style w:type="paragraph" w:styleId="Heading3">
    <w:name w:val="Heading 3"/>
    <w:basedOn w:val="Normal"/>
    <w:qFormat/>
    <w:pPr>
      <w:keepNext/>
      <w:keepLines/>
      <w:spacing w:before="160" w:after="0"/>
      <w:contextualSpacing/>
      <w:outlineLvl w:val="2"/>
    </w:pPr>
    <w:rPr>
      <w:rFonts w:ascii="Trebuchet MS" w:hAnsi="Trebuchet MS" w:eastAsia="Trebuchet MS" w:cs="Trebuchet MS"/>
      <w:b/>
      <w:color w:val="666666"/>
      <w:sz w:val="24"/>
    </w:rPr>
  </w:style>
  <w:style w:type="paragraph" w:styleId="Heading4">
    <w:name w:val="Heading 4"/>
    <w:basedOn w:val="Normal"/>
    <w:qFormat/>
    <w:pPr>
      <w:keepNext/>
      <w:keepLines/>
      <w:spacing w:before="160" w:after="0"/>
      <w:contextualSpacing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qFormat/>
    <w:pPr>
      <w:keepNext/>
      <w:keepLines/>
      <w:spacing w:before="160" w:after="0"/>
      <w:contextualSpacing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qFormat/>
    <w:pPr>
      <w:keepNext/>
      <w:keepLines/>
      <w:spacing w:before="160" w:after="0"/>
      <w:contextualSpacing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u w:val="none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cs="OpenSymbol"/>
      <w:u w:val="no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ListLabel3">
    <w:name w:val="ListLabel 3"/>
    <w:qFormat/>
    <w:rPr>
      <w:rFonts w:cs="OpenSymbol"/>
      <w:b w:val="false"/>
      <w:u w:val="none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qFormat/>
    <w:pPr>
      <w:keepNext/>
      <w:keepLines/>
      <w:spacing w:before="0" w:after="0"/>
      <w:contextualSpacing/>
    </w:pPr>
    <w:rPr>
      <w:rFonts w:ascii="Trebuchet MS" w:hAnsi="Trebuchet MS" w:eastAsia="Trebuchet MS" w:cs="Trebuchet MS"/>
      <w:sz w:val="42"/>
    </w:rPr>
  </w:style>
  <w:style w:type="paragraph" w:styleId="Subtitle">
    <w:name w:val="Subtitle"/>
    <w:basedOn w:val="Normal"/>
    <w:qFormat/>
    <w:pPr>
      <w:keepNext/>
      <w:keepLines/>
      <w:spacing w:before="0" w:after="200"/>
      <w:contextualSpacing/>
    </w:pPr>
    <w:rPr>
      <w:rFonts w:ascii="Trebuchet MS" w:hAnsi="Trebuchet MS" w:eastAsia="Trebuchet MS" w:cs="Trebuchet MS"/>
      <w:i/>
      <w:color w:val="666666"/>
      <w:sz w:val="2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LibreOffice/4.4.3.2$Linux_X86_64 LibreOffice_project/40m0$Build-2</Application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2015-04-21T16:55:00Z</dcterms:created>
  <dc:language>en-US</dc:language>
  <cp:lastModifiedBy>dmitry </cp:lastModifiedBy>
  <dcterms:modified xsi:type="dcterms:W3CDTF">2015-06-15T13:53:57Z</dcterms:modified>
  <cp:revision>4</cp:revision>
</cp:coreProperties>
</file>